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92" w:rsidRPr="000E26AD" w:rsidRDefault="00EF6692" w:rsidP="00EF669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0E26AD">
        <w:rPr>
          <w:rFonts w:ascii="Arial" w:hAnsi="Arial" w:cs="Arial"/>
          <w:b/>
          <w:lang w:val="en-US"/>
        </w:rPr>
        <w:t>Handout HIC Trading Club</w:t>
      </w:r>
    </w:p>
    <w:p w:rsidR="00EF6692" w:rsidRPr="000E26AD" w:rsidRDefault="00EF6692" w:rsidP="00EF669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0E26AD">
        <w:rPr>
          <w:rFonts w:ascii="Arial" w:hAnsi="Arial" w:cs="Arial"/>
          <w:b/>
          <w:lang w:val="en-US"/>
        </w:rPr>
        <w:t xml:space="preserve">Basis </w:t>
      </w:r>
      <w:proofErr w:type="spellStart"/>
      <w:r w:rsidRPr="000E26AD">
        <w:rPr>
          <w:rFonts w:ascii="Arial" w:hAnsi="Arial" w:cs="Arial"/>
          <w:b/>
          <w:lang w:val="en-US"/>
        </w:rPr>
        <w:t>Informationen</w:t>
      </w:r>
      <w:proofErr w:type="spellEnd"/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„ABC Financial </w:t>
      </w:r>
      <w:proofErr w:type="spellStart"/>
      <w:r>
        <w:rPr>
          <w:rFonts w:ascii="Arial" w:hAnsi="Arial" w:cs="Arial"/>
          <w:b/>
        </w:rPr>
        <w:t>Markets</w:t>
      </w:r>
      <w:proofErr w:type="spellEnd"/>
      <w:r>
        <w:rPr>
          <w:rFonts w:ascii="Arial" w:hAnsi="Arial" w:cs="Arial"/>
          <w:b/>
        </w:rPr>
        <w:t xml:space="preserve">“ </w:t>
      </w: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Indizes</w:t>
      </w: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</w:p>
    <w:p w:rsidR="00EF6692" w:rsidRPr="002E3D93" w:rsidRDefault="00EF6692" w:rsidP="00EF66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DAX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B74B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eutscher </w:t>
      </w:r>
      <w:r w:rsidRPr="009B74BB">
        <w:rPr>
          <w:rFonts w:ascii="Arial" w:hAnsi="Arial" w:cs="Arial"/>
          <w:b/>
        </w:rPr>
        <w:t>A</w:t>
      </w:r>
      <w:r>
        <w:rPr>
          <w:rFonts w:ascii="Arial" w:hAnsi="Arial" w:cs="Arial"/>
        </w:rPr>
        <w:t>ktieninde</w:t>
      </w:r>
      <w:r w:rsidRPr="009B74BB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(30 größten Aktienunternehmen Deutschlands).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  <w:r w:rsidRPr="009B74BB">
        <w:rPr>
          <w:rFonts w:ascii="Arial" w:hAnsi="Arial" w:cs="Arial"/>
          <w:b/>
        </w:rPr>
        <w:t>FTSE</w:t>
      </w:r>
      <w:r>
        <w:rPr>
          <w:rFonts w:ascii="Arial" w:hAnsi="Arial" w:cs="Arial"/>
          <w:b/>
        </w:rPr>
        <w:t xml:space="preserve"> 100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F</w:t>
      </w:r>
      <w:r w:rsidRPr="009B74BB">
        <w:rPr>
          <w:rFonts w:ascii="Arial" w:hAnsi="Arial" w:cs="Arial"/>
        </w:rPr>
        <w:t>inancial</w:t>
      </w:r>
      <w:r>
        <w:rPr>
          <w:rFonts w:ascii="Arial" w:hAnsi="Arial" w:cs="Arial"/>
        </w:rPr>
        <w:t xml:space="preserve"> </w:t>
      </w:r>
      <w:r w:rsidRPr="009B74BB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imes </w:t>
      </w:r>
      <w:r w:rsidRPr="009B74BB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tock </w:t>
      </w:r>
      <w:r w:rsidRPr="009B74BB">
        <w:rPr>
          <w:rFonts w:ascii="Arial" w:hAnsi="Arial" w:cs="Arial"/>
          <w:b/>
        </w:rPr>
        <w:t>E</w:t>
      </w:r>
      <w:r>
        <w:rPr>
          <w:rFonts w:ascii="Arial" w:hAnsi="Arial" w:cs="Arial"/>
        </w:rPr>
        <w:t>xchange (100 größten Aktienunternehmen UK).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  <w:r w:rsidRPr="009B74BB">
        <w:rPr>
          <w:rFonts w:ascii="Arial" w:hAnsi="Arial" w:cs="Arial"/>
          <w:b/>
        </w:rPr>
        <w:t>EURO STOXX 50</w:t>
      </w:r>
      <w:r>
        <w:rPr>
          <w:rFonts w:ascii="Arial" w:hAnsi="Arial" w:cs="Arial"/>
        </w:rPr>
        <w:t>:  50 große Aktiengesellschaften im Euro Währungsgebiet.</w:t>
      </w:r>
    </w:p>
    <w:p w:rsidR="00EF6692" w:rsidRDefault="00EF6692" w:rsidP="00EF6692">
      <w:pPr>
        <w:spacing w:line="360" w:lineRule="auto"/>
        <w:rPr>
          <w:rFonts w:ascii="Arial" w:hAnsi="Arial" w:cs="Arial"/>
          <w:b/>
        </w:rPr>
      </w:pPr>
      <w:r w:rsidRPr="009B74BB">
        <w:rPr>
          <w:rFonts w:ascii="Arial" w:hAnsi="Arial" w:cs="Arial"/>
          <w:b/>
        </w:rPr>
        <w:t>Dow Jones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Dow Jones Industrial Average kurz DJIA) 30 US Aktiengesellschaften.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S&amp;P 500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500 größten börsennotierten US Aktiengesellschaften.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  <w:r w:rsidRPr="002E3D93">
        <w:rPr>
          <w:rFonts w:ascii="Arial" w:hAnsi="Arial" w:cs="Arial"/>
          <w:b/>
        </w:rPr>
        <w:t>Shanghai Stock Exchange 50</w:t>
      </w:r>
      <w:r>
        <w:rPr>
          <w:rFonts w:ascii="Arial" w:hAnsi="Arial" w:cs="Arial"/>
        </w:rPr>
        <w:t>: Listet die 50 größten CHN Unternahmen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  <w:r w:rsidRPr="002E3D93">
        <w:rPr>
          <w:rFonts w:ascii="Arial" w:hAnsi="Arial" w:cs="Arial"/>
          <w:b/>
        </w:rPr>
        <w:t>NIKKEI 225</w:t>
      </w:r>
      <w:r>
        <w:rPr>
          <w:rFonts w:ascii="Arial" w:hAnsi="Arial" w:cs="Arial"/>
        </w:rPr>
        <w:t>: Japanischer Leitindex (225 gelistete Aktiengesellschaften)</w:t>
      </w:r>
    </w:p>
    <w:p w:rsidR="00EF6692" w:rsidRDefault="00EF6692" w:rsidP="00EF6692">
      <w:pPr>
        <w:spacing w:line="360" w:lineRule="auto"/>
        <w:rPr>
          <w:rFonts w:ascii="Arial" w:hAnsi="Arial" w:cs="Arial"/>
        </w:rPr>
      </w:pP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</w:p>
    <w:p w:rsidR="00EF6692" w:rsidRDefault="00EF6692" w:rsidP="00EF6692">
      <w:pPr>
        <w:spacing w:line="360" w:lineRule="auto"/>
        <w:jc w:val="center"/>
        <w:rPr>
          <w:rFonts w:ascii="Arial" w:hAnsi="Arial" w:cs="Arial"/>
          <w:b/>
        </w:rPr>
      </w:pPr>
      <w:r w:rsidRPr="002E3D93">
        <w:rPr>
          <w:rFonts w:ascii="Arial" w:hAnsi="Arial" w:cs="Arial"/>
          <w:b/>
        </w:rPr>
        <w:t>Basis Wertpapiere</w:t>
      </w:r>
    </w:p>
    <w:p w:rsidR="00EF6692" w:rsidRDefault="00EF6692" w:rsidP="00EF66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Aktie</w:t>
      </w:r>
      <w:r>
        <w:rPr>
          <w:rFonts w:ascii="Arial" w:hAnsi="Arial" w:cs="Arial"/>
        </w:rPr>
        <w:t>: Verbrieft den Anteil an einer Aktiengesellschaft und damit auch die verschiedenen Rechte für die der Käufer den aktuellen Kurswert als Gegenpart zu entrichten hat.</w:t>
      </w:r>
    </w:p>
    <w:p w:rsidR="00EF6692" w:rsidRDefault="00EF6692" w:rsidP="00EF6692">
      <w:pPr>
        <w:spacing w:line="360" w:lineRule="auto"/>
        <w:jc w:val="both"/>
        <w:rPr>
          <w:rFonts w:ascii="Arial" w:hAnsi="Arial" w:cs="Arial"/>
        </w:rPr>
      </w:pPr>
    </w:p>
    <w:p w:rsidR="00EF6692" w:rsidRDefault="00EF6692" w:rsidP="00EF6692">
      <w:pPr>
        <w:spacing w:line="360" w:lineRule="auto"/>
        <w:jc w:val="both"/>
        <w:rPr>
          <w:rFonts w:ascii="Arial" w:hAnsi="Arial" w:cs="Arial"/>
        </w:rPr>
      </w:pPr>
      <w:r w:rsidRPr="002E3D93">
        <w:rPr>
          <w:rFonts w:ascii="Arial" w:hAnsi="Arial" w:cs="Arial"/>
          <w:b/>
        </w:rPr>
        <w:t>Anleihen</w:t>
      </w:r>
      <w:r w:rsidRPr="002E3D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Sind festverzinsliche Wertpapiere (Auch Obligationen oder im eng. „Bonds“ genannt). Verbrieft dem Gläubiger das Recht auf Rückzahlung des verbrieften Betrags und einen vereinbarten Zinssatz.  </w:t>
      </w:r>
    </w:p>
    <w:p w:rsidR="00C7653D" w:rsidRDefault="00C7653D"/>
    <w:p w:rsidR="00EF6692" w:rsidRDefault="00EF6692" w:rsidP="00EF6692">
      <w:pPr>
        <w:rPr>
          <w:b/>
          <w:bCs/>
        </w:rPr>
      </w:pPr>
      <w:bookmarkStart w:id="0" w:name="_Hlk26190029"/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Default="00EF6692" w:rsidP="00EF6692">
      <w:pPr>
        <w:jc w:val="center"/>
        <w:rPr>
          <w:b/>
          <w:bCs/>
        </w:rPr>
      </w:pPr>
    </w:p>
    <w:p w:rsidR="00EF6692" w:rsidRDefault="00EF6692" w:rsidP="00EF6692">
      <w:pPr>
        <w:jc w:val="center"/>
        <w:rPr>
          <w:b/>
          <w:bCs/>
        </w:rPr>
      </w:pPr>
    </w:p>
    <w:p w:rsidR="00EF6692" w:rsidRDefault="00EF6692" w:rsidP="00EF6692">
      <w:pPr>
        <w:jc w:val="center"/>
        <w:rPr>
          <w:b/>
          <w:bCs/>
        </w:rPr>
      </w:pPr>
      <w:r w:rsidRPr="00EF6692">
        <w:rPr>
          <w:b/>
          <w:bCs/>
        </w:rPr>
        <w:t xml:space="preserve">Basis </w:t>
      </w:r>
      <w:r>
        <w:rPr>
          <w:b/>
          <w:bCs/>
        </w:rPr>
        <w:t>Technische Analyse</w:t>
      </w:r>
    </w:p>
    <w:p w:rsidR="00EF6692" w:rsidRDefault="00EF6692" w:rsidP="00EF6692">
      <w:pPr>
        <w:jc w:val="center"/>
        <w:rPr>
          <w:b/>
          <w:bCs/>
        </w:rPr>
      </w:pPr>
    </w:p>
    <w:p w:rsidR="00EF6692" w:rsidRPr="00EF6692" w:rsidRDefault="00EF6692" w:rsidP="00EF6692">
      <w:pPr>
        <w:jc w:val="center"/>
        <w:rPr>
          <w:b/>
          <w:bCs/>
        </w:rPr>
      </w:pPr>
    </w:p>
    <w:p w:rsidR="00EF6692" w:rsidRDefault="00EF6692" w:rsidP="00EF6692">
      <w:pPr>
        <w:rPr>
          <w:b/>
          <w:bCs/>
        </w:rPr>
      </w:pPr>
    </w:p>
    <w:p w:rsidR="00EF6692" w:rsidRPr="00EF6692" w:rsidRDefault="00EF6692" w:rsidP="00EF6692">
      <w:pPr>
        <w:spacing w:line="360" w:lineRule="auto"/>
      </w:pPr>
      <w:r w:rsidRPr="00EF6692">
        <w:rPr>
          <w:lang w:val="en-US"/>
        </w:rPr>
        <w:drawing>
          <wp:anchor distT="0" distB="0" distL="114300" distR="114300" simplePos="0" relativeHeight="251659264" behindDoc="0" locked="0" layoutInCell="1" allowOverlap="1" wp14:anchorId="0B9FAC5A" wp14:editId="07A3A7FB">
            <wp:simplePos x="0" y="0"/>
            <wp:positionH relativeFrom="margin">
              <wp:posOffset>4359275</wp:posOffset>
            </wp:positionH>
            <wp:positionV relativeFrom="paragraph">
              <wp:posOffset>3175</wp:posOffset>
            </wp:positionV>
            <wp:extent cx="2080895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356" y="21210"/>
                <wp:lineTo x="21356" y="0"/>
                <wp:lineTo x="0" y="0"/>
              </wp:wrapPolygon>
            </wp:wrapThrough>
            <wp:docPr id="3" name="Bild 3" descr="Bildergebnis für candle stick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andle stick erklär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692">
        <w:rPr>
          <w:b/>
          <w:bCs/>
        </w:rPr>
        <w:t xml:space="preserve">Bärenmarkt: </w:t>
      </w:r>
      <w:r w:rsidRPr="00EF6692">
        <w:t>Steht an der Börse für anhaltend fallende Kurse.</w:t>
      </w:r>
    </w:p>
    <w:p w:rsidR="00EF6692" w:rsidRPr="00EF6692" w:rsidRDefault="00EF6692" w:rsidP="00EF6692">
      <w:pPr>
        <w:spacing w:line="360" w:lineRule="auto"/>
        <w:rPr>
          <w:b/>
          <w:bCs/>
        </w:rPr>
      </w:pPr>
      <w:r w:rsidRPr="00EF6692">
        <w:rPr>
          <w:b/>
          <w:bCs/>
        </w:rPr>
        <w:t xml:space="preserve">Bullenmarkt: </w:t>
      </w:r>
      <w:r w:rsidRPr="00EF6692">
        <w:t>Steht an der Börse für anhaltend steigende Kurse.</w:t>
      </w:r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Chart (Kursdiagramm): </w:t>
      </w:r>
      <w:r w:rsidRPr="00EF6692">
        <w:t>Kurse können in einem Chart auf sehr unterschiedliche Weise dargestellt werden, zum Beispiel als Kerzencharts.</w:t>
      </w:r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Briefkurs (</w:t>
      </w:r>
      <w:proofErr w:type="spellStart"/>
      <w:r w:rsidRPr="00EF6692">
        <w:rPr>
          <w:b/>
          <w:bCs/>
        </w:rPr>
        <w:t>Ask</w:t>
      </w:r>
      <w:proofErr w:type="spellEnd"/>
      <w:r w:rsidRPr="00EF6692">
        <w:rPr>
          <w:b/>
          <w:bCs/>
        </w:rPr>
        <w:t>):</w:t>
      </w:r>
      <w:r w:rsidRPr="00EF6692">
        <w:t xml:space="preserve"> Ist ein Börsenkurs, zu welchem Finanzinstrumente oder Finanzprodukte von einem Wirtschaftssubjekt verkauft werden.</w:t>
      </w:r>
    </w:p>
    <w:p w:rsidR="00EF6692" w:rsidRPr="00EF6692" w:rsidRDefault="00EF6692" w:rsidP="00EF6692">
      <w:pPr>
        <w:spacing w:line="360" w:lineRule="auto"/>
        <w:rPr>
          <w:b/>
          <w:bCs/>
        </w:rPr>
      </w:pPr>
      <w:r w:rsidRPr="00EF6692">
        <w:rPr>
          <w:b/>
          <w:bCs/>
        </w:rPr>
        <w:t>Geldkurs (</w:t>
      </w:r>
      <w:proofErr w:type="spellStart"/>
      <w:r w:rsidRPr="00EF6692">
        <w:rPr>
          <w:b/>
          <w:bCs/>
        </w:rPr>
        <w:t>Bid</w:t>
      </w:r>
      <w:proofErr w:type="spellEnd"/>
      <w:r w:rsidRPr="00EF6692">
        <w:rPr>
          <w:b/>
          <w:bCs/>
        </w:rPr>
        <w:t>):</w:t>
      </w:r>
      <w:r w:rsidRPr="00EF6692">
        <w:t xml:space="preserve"> Ist ein Börsenkurs, zu welchem Finanzinstrumente oder Finanzprodukte von einem Wirtschaftssubjekt gekauft werden.</w:t>
      </w:r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Spread:</w:t>
      </w:r>
      <w:r w:rsidRPr="00EF6692">
        <w:t xml:space="preserve"> Differenz zwischen Geldkurs und Briefkurs.</w:t>
      </w:r>
      <w:bookmarkStart w:id="1" w:name="_GoBack"/>
      <w:bookmarkEnd w:id="1"/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Gleitende Durchschnitte: </w:t>
      </w:r>
      <w:r w:rsidRPr="00EF6692">
        <w:t>Mit diesem rechnerischen Hilfsmittel werden Kursverläufe geglättet und können damit besser analysiert werden. Der bekannteste gleitende Durchschnitt ist die Zweihundert-Tage-Linie.</w:t>
      </w:r>
    </w:p>
    <w:p w:rsidR="00EF6692" w:rsidRPr="00EF6692" w:rsidRDefault="00EF6692" w:rsidP="00EF6692">
      <w:pPr>
        <w:spacing w:line="360" w:lineRule="auto"/>
        <w:rPr>
          <w:b/>
          <w:bCs/>
        </w:rPr>
      </w:pPr>
      <w:r w:rsidRPr="00EF6692">
        <w:rPr>
          <w:b/>
          <w:bCs/>
        </w:rPr>
        <w:t xml:space="preserve">Trendlinie: </w:t>
      </w:r>
      <w:r w:rsidRPr="00EF6692">
        <w:t>Visualisiert einen Trend, also eine bestimmte Kursentwicklung. Zwei nebeneinander verlaufende Trendlinien bilden einen Trendkanal.</w:t>
      </w:r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Volatilität (</w:t>
      </w:r>
      <w:proofErr w:type="spellStart"/>
      <w:r w:rsidRPr="00EF6692">
        <w:rPr>
          <w:b/>
          <w:bCs/>
        </w:rPr>
        <w:t>Volatility</w:t>
      </w:r>
      <w:proofErr w:type="spellEnd"/>
      <w:r w:rsidRPr="00EF6692">
        <w:rPr>
          <w:b/>
          <w:bCs/>
        </w:rPr>
        <w:t>): </w:t>
      </w:r>
      <w:r w:rsidRPr="00EF6692">
        <w:t xml:space="preserve">Volatilität misst die relative Schwankungsbreite der Kurse und ist ein entscheidendes Werkzeug in der technischen Analyse. </w:t>
      </w:r>
    </w:p>
    <w:p w:rsidR="00EF6692" w:rsidRPr="00EF6692" w:rsidRDefault="00EF6692" w:rsidP="00EF6692">
      <w:pPr>
        <w:spacing w:line="360" w:lineRule="auto"/>
      </w:pPr>
      <w:r w:rsidRPr="00EF6692">
        <w:rPr>
          <w:b/>
          <w:bCs/>
        </w:rPr>
        <w:t>Widerstandslinie &amp; Unterstützungslinie:</w:t>
      </w:r>
      <w:r w:rsidRPr="00EF6692">
        <w:t xml:space="preserve"> Bei einer Widerstandslinie wird vermutet, dass die Kurse sie nur schwer nach oben überwinden können, eine Unterstützungslinie soll dagegen als Bremse für fallende Kurse fungieren.</w:t>
      </w:r>
      <w:bookmarkEnd w:id="0"/>
    </w:p>
    <w:p w:rsidR="00EF6692" w:rsidRDefault="00EF6692"/>
    <w:sectPr w:rsidR="00EF6692" w:rsidSect="001D1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92"/>
    <w:rsid w:val="001D1792"/>
    <w:rsid w:val="00B524E1"/>
    <w:rsid w:val="00C7653D"/>
    <w:rsid w:val="00E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ECE6"/>
  <w15:chartTrackingRefBased/>
  <w15:docId w15:val="{B6002BA3-1AEC-4DD9-81BD-86E97D1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692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</dc:creator>
  <cp:keywords/>
  <dc:description/>
  <cp:lastModifiedBy>Felix S</cp:lastModifiedBy>
  <cp:revision>2</cp:revision>
  <dcterms:created xsi:type="dcterms:W3CDTF">2019-12-02T13:41:00Z</dcterms:created>
  <dcterms:modified xsi:type="dcterms:W3CDTF">2019-12-02T15:45:00Z</dcterms:modified>
</cp:coreProperties>
</file>